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4518"/>
        <w:gridCol w:w="5040"/>
        <w:gridCol w:w="5040"/>
      </w:tblGrid>
      <w:tr w:rsidR="004C5641" w:rsidRPr="004C5641" w:rsidTr="00E70531">
        <w:trPr>
          <w:trHeight w:val="1520"/>
        </w:trPr>
        <w:tc>
          <w:tcPr>
            <w:tcW w:w="4518" w:type="dxa"/>
            <w:vAlign w:val="center"/>
          </w:tcPr>
          <w:p w:rsidR="004C5641" w:rsidRPr="004C5641" w:rsidRDefault="00117DEA" w:rsidP="004C5641">
            <w:pPr>
              <w:jc w:val="center"/>
              <w:rPr>
                <w:rFonts w:cs="Arial"/>
                <w:b/>
                <w:sz w:val="60"/>
                <w:szCs w:val="60"/>
              </w:rPr>
            </w:pPr>
            <w:r>
              <w:rPr>
                <w:rFonts w:cs="Arial"/>
                <w:b/>
                <w:sz w:val="60"/>
                <w:szCs w:val="60"/>
              </w:rPr>
              <w:t>NOTICE</w:t>
            </w:r>
          </w:p>
          <w:p w:rsidR="004C5641" w:rsidRPr="004C5641" w:rsidRDefault="004C5641" w:rsidP="000A3182">
            <w:pPr>
              <w:jc w:val="center"/>
              <w:rPr>
                <w:rFonts w:cs="Arial"/>
                <w:b/>
                <w:sz w:val="44"/>
                <w:szCs w:val="44"/>
              </w:rPr>
            </w:pPr>
            <w:r w:rsidRPr="004C5641">
              <w:rPr>
                <w:rFonts w:cs="Arial"/>
                <w:b/>
                <w:sz w:val="60"/>
                <w:szCs w:val="60"/>
              </w:rPr>
              <w:t xml:space="preserve">n. </w:t>
            </w:r>
            <w:r w:rsidR="004D0629">
              <w:rPr>
                <w:rFonts w:cs="Arial"/>
                <w:b/>
                <w:sz w:val="60"/>
                <w:szCs w:val="60"/>
              </w:rPr>
              <w:t>2</w:t>
            </w:r>
            <w:r w:rsidR="00397483">
              <w:rPr>
                <w:rFonts w:cs="Arial"/>
                <w:b/>
                <w:sz w:val="60"/>
                <w:szCs w:val="60"/>
              </w:rPr>
              <w:t>1</w:t>
            </w:r>
            <w:r w:rsidR="008321C6">
              <w:rPr>
                <w:rFonts w:cs="Arial"/>
                <w:b/>
                <w:sz w:val="60"/>
                <w:szCs w:val="60"/>
              </w:rPr>
              <w:t>57</w:t>
            </w:r>
          </w:p>
        </w:tc>
        <w:tc>
          <w:tcPr>
            <w:tcW w:w="5040" w:type="dxa"/>
            <w:vAlign w:val="center"/>
          </w:tcPr>
          <w:p w:rsidR="004C5641" w:rsidRPr="004C5641" w:rsidRDefault="004F7BF3" w:rsidP="000A3182">
            <w:pPr>
              <w:jc w:val="center"/>
              <w:rPr>
                <w:rFonts w:cs="Arial"/>
                <w:b/>
                <w:color w:val="FF0000"/>
                <w:sz w:val="44"/>
                <w:szCs w:val="44"/>
              </w:rPr>
            </w:pPr>
            <w:r>
              <w:rPr>
                <w:rFonts w:cs="Arial"/>
                <w:b/>
                <w:sz w:val="44"/>
                <w:szCs w:val="44"/>
              </w:rPr>
              <w:t>1</w:t>
            </w:r>
            <w:r w:rsidR="000A3182">
              <w:rPr>
                <w:rFonts w:cs="Arial"/>
                <w:b/>
                <w:sz w:val="44"/>
                <w:szCs w:val="44"/>
              </w:rPr>
              <w:t>1</w:t>
            </w:r>
            <w:r w:rsidR="00574428">
              <w:rPr>
                <w:rFonts w:cs="Arial"/>
                <w:b/>
                <w:sz w:val="44"/>
                <w:szCs w:val="44"/>
              </w:rPr>
              <w:t xml:space="preserve"> </w:t>
            </w:r>
            <w:r w:rsidR="00397483">
              <w:rPr>
                <w:rFonts w:cs="Arial"/>
                <w:b/>
                <w:sz w:val="44"/>
                <w:szCs w:val="44"/>
              </w:rPr>
              <w:t>Octo</w:t>
            </w:r>
            <w:r w:rsidR="00940DBC">
              <w:rPr>
                <w:rFonts w:cs="Arial"/>
                <w:b/>
                <w:sz w:val="44"/>
                <w:szCs w:val="44"/>
              </w:rPr>
              <w:t>ber</w:t>
            </w:r>
            <w:r w:rsidR="009C63B4">
              <w:rPr>
                <w:rFonts w:cs="Arial"/>
                <w:b/>
                <w:sz w:val="44"/>
                <w:szCs w:val="44"/>
              </w:rPr>
              <w:t>,</w:t>
            </w:r>
            <w:r w:rsidR="004C5641" w:rsidRPr="004C5641">
              <w:rPr>
                <w:rFonts w:cs="Arial"/>
                <w:b/>
                <w:color w:val="FF0000"/>
                <w:sz w:val="44"/>
                <w:szCs w:val="44"/>
              </w:rPr>
              <w:t xml:space="preserve"> </w:t>
            </w:r>
            <w:r w:rsidR="000A459D">
              <w:rPr>
                <w:rFonts w:cs="Arial"/>
                <w:b/>
                <w:sz w:val="44"/>
                <w:szCs w:val="44"/>
              </w:rPr>
              <w:t>201</w:t>
            </w:r>
            <w:r w:rsidR="00E50E2C">
              <w:rPr>
                <w:rFonts w:cs="Arial"/>
                <w:b/>
                <w:sz w:val="44"/>
                <w:szCs w:val="44"/>
              </w:rPr>
              <w:t>9</w:t>
            </w:r>
          </w:p>
        </w:tc>
        <w:tc>
          <w:tcPr>
            <w:tcW w:w="5040" w:type="dxa"/>
            <w:vAlign w:val="center"/>
          </w:tcPr>
          <w:p w:rsidR="004C5641" w:rsidRPr="004C5641" w:rsidRDefault="004C5641" w:rsidP="004C5641">
            <w:pPr>
              <w:jc w:val="center"/>
              <w:rPr>
                <w:rFonts w:cs="Arial"/>
                <w:b/>
                <w:sz w:val="44"/>
                <w:szCs w:val="44"/>
              </w:rPr>
            </w:pPr>
            <w:proofErr w:type="spellStart"/>
            <w:r w:rsidRPr="004C5641">
              <w:rPr>
                <w:rFonts w:cs="Arial"/>
                <w:b/>
                <w:sz w:val="44"/>
                <w:szCs w:val="44"/>
              </w:rPr>
              <w:t>EuroTLX</w:t>
            </w:r>
            <w:proofErr w:type="spellEnd"/>
          </w:p>
        </w:tc>
      </w:tr>
    </w:tbl>
    <w:p w:rsidR="00274A52" w:rsidRPr="00117DEA" w:rsidRDefault="00117DEA" w:rsidP="00A95242">
      <w:pPr>
        <w:jc w:val="both"/>
        <w:rPr>
          <w:rFonts w:cs="Arial"/>
          <w:sz w:val="32"/>
          <w:szCs w:val="32"/>
        </w:rPr>
      </w:pPr>
      <w:r>
        <w:rPr>
          <w:rFonts w:cs="Arial"/>
          <w:sz w:val="32"/>
          <w:szCs w:val="32"/>
        </w:rPr>
        <w:t>Sender</w:t>
      </w:r>
      <w:r w:rsidR="00274A52" w:rsidRPr="00BB4080">
        <w:rPr>
          <w:rFonts w:cs="Arial"/>
          <w:sz w:val="32"/>
          <w:szCs w:val="32"/>
        </w:rPr>
        <w:t>:</w:t>
      </w:r>
      <w:r w:rsidR="00274A52" w:rsidRPr="00BB4080">
        <w:rPr>
          <w:rFonts w:cs="Arial"/>
          <w:sz w:val="32"/>
          <w:szCs w:val="32"/>
        </w:rPr>
        <w:tab/>
        <w:t xml:space="preserve"> </w:t>
      </w:r>
      <w:r w:rsidRPr="00BB4080">
        <w:rPr>
          <w:rFonts w:cs="Arial"/>
          <w:sz w:val="32"/>
          <w:szCs w:val="32"/>
        </w:rPr>
        <w:tab/>
      </w:r>
      <w:r w:rsidRPr="00BB4080">
        <w:rPr>
          <w:rFonts w:cs="Arial"/>
          <w:sz w:val="32"/>
          <w:szCs w:val="32"/>
        </w:rPr>
        <w:tab/>
      </w:r>
      <w:r w:rsidRPr="00BB4080">
        <w:rPr>
          <w:rFonts w:cs="Arial"/>
          <w:sz w:val="32"/>
          <w:szCs w:val="32"/>
        </w:rPr>
        <w:tab/>
      </w:r>
      <w:r w:rsidR="004C5641" w:rsidRPr="00BB4080">
        <w:rPr>
          <w:rFonts w:cs="Arial"/>
          <w:sz w:val="32"/>
          <w:szCs w:val="32"/>
        </w:rPr>
        <w:tab/>
      </w:r>
      <w:proofErr w:type="spellStart"/>
      <w:r w:rsidR="00274A52" w:rsidRPr="00117DEA">
        <w:rPr>
          <w:rFonts w:cs="Arial"/>
          <w:b/>
          <w:sz w:val="32"/>
          <w:szCs w:val="32"/>
        </w:rPr>
        <w:t>EuroTLX</w:t>
      </w:r>
      <w:proofErr w:type="spellEnd"/>
      <w:r w:rsidR="004C5641" w:rsidRPr="00117DEA">
        <w:rPr>
          <w:rFonts w:cs="Arial"/>
          <w:b/>
          <w:sz w:val="32"/>
          <w:szCs w:val="32"/>
        </w:rPr>
        <w:t xml:space="preserve"> SIM</w:t>
      </w:r>
    </w:p>
    <w:p w:rsidR="004C5641" w:rsidRPr="00117DEA" w:rsidRDefault="00117DEA" w:rsidP="00A95242">
      <w:pPr>
        <w:jc w:val="both"/>
        <w:rPr>
          <w:rFonts w:cs="Arial"/>
          <w:sz w:val="32"/>
          <w:szCs w:val="32"/>
        </w:rPr>
      </w:pPr>
      <w:r>
        <w:rPr>
          <w:rFonts w:cs="Arial"/>
          <w:sz w:val="32"/>
          <w:szCs w:val="32"/>
        </w:rPr>
        <w:t>Target Company</w:t>
      </w:r>
      <w:r w:rsidRPr="00117DEA">
        <w:rPr>
          <w:rFonts w:cs="Arial"/>
          <w:sz w:val="32"/>
          <w:szCs w:val="32"/>
        </w:rPr>
        <w:t>:</w:t>
      </w:r>
      <w:r w:rsidR="004C5641" w:rsidRPr="00117DEA">
        <w:rPr>
          <w:rFonts w:cs="Arial"/>
          <w:sz w:val="32"/>
          <w:szCs w:val="32"/>
        </w:rPr>
        <w:tab/>
      </w:r>
      <w:r>
        <w:rPr>
          <w:rFonts w:cs="Arial"/>
          <w:sz w:val="32"/>
          <w:szCs w:val="32"/>
        </w:rPr>
        <w:tab/>
      </w:r>
      <w:r w:rsidR="004C5641" w:rsidRPr="00117DEA">
        <w:rPr>
          <w:rFonts w:cs="Arial"/>
          <w:sz w:val="32"/>
          <w:szCs w:val="32"/>
        </w:rPr>
        <w:tab/>
        <w:t>---</w:t>
      </w:r>
    </w:p>
    <w:p w:rsidR="004C5641" w:rsidRDefault="00117DEA" w:rsidP="00A95242">
      <w:pPr>
        <w:jc w:val="both"/>
        <w:rPr>
          <w:rFonts w:cs="Arial"/>
          <w:b/>
          <w:sz w:val="32"/>
          <w:szCs w:val="32"/>
        </w:rPr>
      </w:pPr>
      <w:r>
        <w:rPr>
          <w:rFonts w:cs="Arial"/>
          <w:sz w:val="32"/>
          <w:szCs w:val="32"/>
        </w:rPr>
        <w:t>Object</w:t>
      </w:r>
      <w:r w:rsidR="009C63B4">
        <w:rPr>
          <w:rFonts w:cs="Arial"/>
          <w:sz w:val="32"/>
          <w:szCs w:val="32"/>
        </w:rPr>
        <w:t>:</w:t>
      </w:r>
      <w:r w:rsidR="009C63B4">
        <w:rPr>
          <w:rFonts w:cs="Arial"/>
          <w:sz w:val="32"/>
          <w:szCs w:val="32"/>
        </w:rPr>
        <w:tab/>
      </w:r>
      <w:r w:rsidR="009C63B4">
        <w:rPr>
          <w:rFonts w:cs="Arial"/>
          <w:sz w:val="32"/>
          <w:szCs w:val="32"/>
        </w:rPr>
        <w:tab/>
      </w:r>
      <w:r w:rsidR="009C63B4">
        <w:rPr>
          <w:rFonts w:cs="Arial"/>
          <w:sz w:val="32"/>
          <w:szCs w:val="32"/>
        </w:rPr>
        <w:tab/>
      </w:r>
      <w:r w:rsidR="009C63B4">
        <w:rPr>
          <w:rFonts w:cs="Arial"/>
          <w:sz w:val="32"/>
          <w:szCs w:val="32"/>
        </w:rPr>
        <w:tab/>
      </w:r>
      <w:r w:rsidR="009C63B4">
        <w:rPr>
          <w:rFonts w:cs="Arial"/>
          <w:sz w:val="32"/>
          <w:szCs w:val="32"/>
        </w:rPr>
        <w:tab/>
      </w:r>
      <w:r w:rsidR="008321C6" w:rsidRPr="008321C6">
        <w:rPr>
          <w:rFonts w:cs="Arial"/>
          <w:b/>
          <w:sz w:val="32"/>
          <w:szCs w:val="32"/>
        </w:rPr>
        <w:t>COMMODITY DERIVATIVES POSITION REPORTING MANUAL</w:t>
      </w:r>
      <w:r w:rsidR="008321C6">
        <w:rPr>
          <w:rFonts w:cs="Arial"/>
          <w:b/>
          <w:sz w:val="32"/>
          <w:szCs w:val="32"/>
        </w:rPr>
        <w:t xml:space="preserve"> </w:t>
      </w:r>
      <w:r w:rsidR="008321C6" w:rsidRPr="008321C6">
        <w:rPr>
          <w:rFonts w:cs="Arial"/>
          <w:b/>
          <w:sz w:val="32"/>
          <w:szCs w:val="32"/>
        </w:rPr>
        <w:t>VERSION 4</w:t>
      </w:r>
    </w:p>
    <w:p w:rsidR="009B6A4D" w:rsidRDefault="00117DEA" w:rsidP="004A6992">
      <w:pPr>
        <w:pBdr>
          <w:top w:val="single" w:sz="4" w:space="1" w:color="auto"/>
          <w:left w:val="single" w:sz="4" w:space="4" w:color="auto"/>
          <w:bottom w:val="single" w:sz="4" w:space="0" w:color="auto"/>
          <w:right w:val="single" w:sz="4" w:space="4" w:color="auto"/>
        </w:pBdr>
        <w:ind w:firstLine="720"/>
        <w:rPr>
          <w:rFonts w:cs="Times New Roman"/>
          <w:sz w:val="28"/>
          <w:szCs w:val="28"/>
        </w:rPr>
      </w:pPr>
      <w:r>
        <w:rPr>
          <w:rFonts w:cs="Arial"/>
          <w:sz w:val="32"/>
          <w:szCs w:val="32"/>
        </w:rPr>
        <w:t>Text</w:t>
      </w:r>
    </w:p>
    <w:p w:rsidR="008321C6" w:rsidRPr="008321C6" w:rsidRDefault="008321C6" w:rsidP="008321C6">
      <w:pPr>
        <w:autoSpaceDE w:val="0"/>
        <w:autoSpaceDN w:val="0"/>
        <w:adjustRightInd w:val="0"/>
        <w:spacing w:after="0" w:line="240" w:lineRule="auto"/>
        <w:jc w:val="both"/>
        <w:rPr>
          <w:rFonts w:cs="Times New Roman"/>
          <w:sz w:val="28"/>
          <w:szCs w:val="28"/>
        </w:rPr>
      </w:pPr>
      <w:r w:rsidRPr="008321C6">
        <w:rPr>
          <w:rFonts w:cs="Times New Roman"/>
          <w:sz w:val="28"/>
          <w:szCs w:val="28"/>
        </w:rPr>
        <w:t xml:space="preserve">The Commodity Derivatives Position Reporting Manual is amended to update the description of the reporting process functioning with particular regard to the management of the files with which the information are communicated to </w:t>
      </w:r>
      <w:proofErr w:type="spellStart"/>
      <w:r w:rsidRPr="008321C6">
        <w:rPr>
          <w:rFonts w:cs="Times New Roman"/>
          <w:sz w:val="28"/>
          <w:szCs w:val="28"/>
        </w:rPr>
        <w:t>Borsa</w:t>
      </w:r>
      <w:proofErr w:type="spellEnd"/>
      <w:r w:rsidRPr="008321C6">
        <w:rPr>
          <w:rFonts w:cs="Times New Roman"/>
          <w:sz w:val="28"/>
          <w:szCs w:val="28"/>
        </w:rPr>
        <w:t xml:space="preserve"> </w:t>
      </w:r>
      <w:proofErr w:type="spellStart"/>
      <w:r w:rsidRPr="008321C6">
        <w:rPr>
          <w:rFonts w:cs="Times New Roman"/>
          <w:sz w:val="28"/>
          <w:szCs w:val="28"/>
        </w:rPr>
        <w:t>Italiana</w:t>
      </w:r>
      <w:proofErr w:type="spellEnd"/>
      <w:r w:rsidRPr="008321C6">
        <w:rPr>
          <w:rFonts w:cs="Times New Roman"/>
          <w:sz w:val="28"/>
          <w:szCs w:val="28"/>
        </w:rPr>
        <w:t xml:space="preserve">.  </w:t>
      </w:r>
    </w:p>
    <w:p w:rsidR="008321C6" w:rsidRPr="008321C6" w:rsidRDefault="008321C6" w:rsidP="008321C6">
      <w:pPr>
        <w:autoSpaceDE w:val="0"/>
        <w:autoSpaceDN w:val="0"/>
        <w:adjustRightInd w:val="0"/>
        <w:spacing w:after="0" w:line="240" w:lineRule="auto"/>
        <w:jc w:val="both"/>
        <w:rPr>
          <w:rFonts w:cs="Times New Roman"/>
          <w:sz w:val="28"/>
          <w:szCs w:val="28"/>
        </w:rPr>
      </w:pPr>
    </w:p>
    <w:p w:rsidR="008321C6" w:rsidRPr="008321C6" w:rsidRDefault="008321C6" w:rsidP="008321C6">
      <w:pPr>
        <w:autoSpaceDE w:val="0"/>
        <w:autoSpaceDN w:val="0"/>
        <w:adjustRightInd w:val="0"/>
        <w:spacing w:after="0" w:line="240" w:lineRule="auto"/>
        <w:jc w:val="both"/>
        <w:rPr>
          <w:rFonts w:cs="Times New Roman"/>
          <w:sz w:val="28"/>
          <w:szCs w:val="28"/>
        </w:rPr>
      </w:pPr>
      <w:r w:rsidRPr="008321C6">
        <w:rPr>
          <w:rFonts w:cs="Times New Roman"/>
          <w:sz w:val="28"/>
          <w:szCs w:val="28"/>
        </w:rPr>
        <w:t>The amendments enter into force on 14 October 2019.</w:t>
      </w:r>
    </w:p>
    <w:p w:rsidR="008321C6" w:rsidRPr="008321C6" w:rsidRDefault="008321C6" w:rsidP="008321C6">
      <w:pPr>
        <w:autoSpaceDE w:val="0"/>
        <w:autoSpaceDN w:val="0"/>
        <w:adjustRightInd w:val="0"/>
        <w:spacing w:after="0" w:line="240" w:lineRule="auto"/>
        <w:jc w:val="both"/>
        <w:rPr>
          <w:rFonts w:cs="Times New Roman"/>
          <w:sz w:val="28"/>
          <w:szCs w:val="28"/>
        </w:rPr>
      </w:pPr>
    </w:p>
    <w:p w:rsidR="008321C6" w:rsidRPr="008321C6" w:rsidRDefault="008321C6" w:rsidP="008321C6">
      <w:pPr>
        <w:autoSpaceDE w:val="0"/>
        <w:autoSpaceDN w:val="0"/>
        <w:adjustRightInd w:val="0"/>
        <w:spacing w:after="0" w:line="240" w:lineRule="auto"/>
        <w:jc w:val="both"/>
        <w:rPr>
          <w:rFonts w:cs="Times New Roman"/>
          <w:sz w:val="28"/>
          <w:szCs w:val="28"/>
        </w:rPr>
      </w:pPr>
      <w:r w:rsidRPr="008321C6">
        <w:rPr>
          <w:rFonts w:cs="Times New Roman"/>
          <w:sz w:val="28"/>
          <w:szCs w:val="28"/>
        </w:rPr>
        <w:t>***</w:t>
      </w:r>
    </w:p>
    <w:p w:rsidR="008321C6" w:rsidRPr="008321C6" w:rsidRDefault="008321C6" w:rsidP="008321C6">
      <w:pPr>
        <w:autoSpaceDE w:val="0"/>
        <w:autoSpaceDN w:val="0"/>
        <w:adjustRightInd w:val="0"/>
        <w:spacing w:after="0" w:line="240" w:lineRule="auto"/>
        <w:jc w:val="both"/>
        <w:rPr>
          <w:rFonts w:cs="Times New Roman"/>
          <w:sz w:val="28"/>
          <w:szCs w:val="28"/>
        </w:rPr>
      </w:pPr>
    </w:p>
    <w:p w:rsidR="000A3182" w:rsidRDefault="008321C6" w:rsidP="008321C6">
      <w:pPr>
        <w:autoSpaceDE w:val="0"/>
        <w:autoSpaceDN w:val="0"/>
        <w:adjustRightInd w:val="0"/>
        <w:spacing w:after="0" w:line="240" w:lineRule="auto"/>
        <w:jc w:val="both"/>
        <w:rPr>
          <w:rFonts w:cs="Times New Roman"/>
          <w:sz w:val="28"/>
          <w:szCs w:val="28"/>
        </w:rPr>
      </w:pPr>
      <w:r w:rsidRPr="008321C6">
        <w:rPr>
          <w:rFonts w:cs="Times New Roman"/>
          <w:sz w:val="28"/>
          <w:szCs w:val="28"/>
        </w:rPr>
        <w:t>The updated ve</w:t>
      </w:r>
      <w:r w:rsidR="00C73371">
        <w:rPr>
          <w:rFonts w:cs="Times New Roman"/>
          <w:sz w:val="28"/>
          <w:szCs w:val="28"/>
        </w:rPr>
        <w:t>rsion of the Manual (version 4</w:t>
      </w:r>
      <w:bookmarkStart w:id="0" w:name="_GoBack"/>
      <w:bookmarkEnd w:id="0"/>
      <w:r w:rsidRPr="008321C6">
        <w:rPr>
          <w:rFonts w:cs="Times New Roman"/>
          <w:sz w:val="28"/>
          <w:szCs w:val="28"/>
        </w:rPr>
        <w:t xml:space="preserve">), will be available on </w:t>
      </w:r>
      <w:proofErr w:type="spellStart"/>
      <w:r>
        <w:rPr>
          <w:rFonts w:cs="Times New Roman"/>
          <w:sz w:val="28"/>
          <w:szCs w:val="28"/>
        </w:rPr>
        <w:t>EuroTLX</w:t>
      </w:r>
      <w:proofErr w:type="spellEnd"/>
      <w:r>
        <w:rPr>
          <w:rFonts w:cs="Times New Roman"/>
          <w:sz w:val="28"/>
          <w:szCs w:val="28"/>
        </w:rPr>
        <w:t xml:space="preserve"> Website (www.eurotlx.com</w:t>
      </w:r>
      <w:r w:rsidRPr="008321C6">
        <w:rPr>
          <w:rFonts w:cs="Times New Roman"/>
          <w:sz w:val="28"/>
          <w:szCs w:val="28"/>
        </w:rPr>
        <w:t xml:space="preserve"> – </w:t>
      </w:r>
      <w:r>
        <w:rPr>
          <w:rFonts w:cs="Times New Roman"/>
          <w:sz w:val="28"/>
          <w:szCs w:val="28"/>
        </w:rPr>
        <w:t>Documents</w:t>
      </w:r>
      <w:r w:rsidRPr="008321C6">
        <w:rPr>
          <w:rFonts w:cs="Times New Roman"/>
          <w:sz w:val="28"/>
          <w:szCs w:val="28"/>
        </w:rPr>
        <w:t>).</w:t>
      </w:r>
    </w:p>
    <w:p w:rsidR="000A3182" w:rsidRDefault="000A3182" w:rsidP="00B87245">
      <w:pPr>
        <w:autoSpaceDE w:val="0"/>
        <w:autoSpaceDN w:val="0"/>
        <w:adjustRightInd w:val="0"/>
        <w:spacing w:after="0" w:line="240" w:lineRule="auto"/>
        <w:jc w:val="both"/>
        <w:rPr>
          <w:rFonts w:cs="Times New Roman"/>
          <w:sz w:val="28"/>
          <w:szCs w:val="28"/>
        </w:rPr>
      </w:pPr>
    </w:p>
    <w:sectPr w:rsidR="000A3182" w:rsidSect="00F239FD">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2F3" w:rsidRDefault="002812F3" w:rsidP="00C622DE">
      <w:pPr>
        <w:spacing w:after="0" w:line="240" w:lineRule="auto"/>
      </w:pPr>
      <w:r>
        <w:separator/>
      </w:r>
    </w:p>
  </w:endnote>
  <w:endnote w:type="continuationSeparator" w:id="0">
    <w:p w:rsidR="002812F3" w:rsidRDefault="002812F3" w:rsidP="00C6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F3" w:rsidRDefault="00281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SEGPlaceholder"/>
      <w:tblW w:w="0" w:type="auto"/>
      <w:tblLook w:val="04A0" w:firstRow="1" w:lastRow="0" w:firstColumn="1" w:lastColumn="0" w:noHBand="0" w:noVBand="1"/>
    </w:tblPr>
    <w:tblGrid>
      <w:gridCol w:w="10024"/>
    </w:tblGrid>
    <w:tr w:rsidR="002812F3" w:rsidTr="008B3162">
      <w:tc>
        <w:tcPr>
          <w:tcW w:w="10024" w:type="dxa"/>
        </w:tcPr>
        <w:p w:rsidR="002812F3" w:rsidRPr="006F5611" w:rsidRDefault="002812F3" w:rsidP="008B3162">
          <w:pPr>
            <w:pStyle w:val="LSEGLogoFooter"/>
          </w:pPr>
          <w:r>
            <w:rPr>
              <w:lang w:val="en-US" w:eastAsia="en-US"/>
            </w:rPr>
            <w:drawing>
              <wp:inline distT="0" distB="0" distL="0" distR="0" wp14:anchorId="55527BA6" wp14:editId="585E658C">
                <wp:extent cx="1618491" cy="377953"/>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G_LOGO_RGB_WB_ST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91" cy="377953"/>
                        </a:xfrm>
                        <a:prstGeom prst="rect">
                          <a:avLst/>
                        </a:prstGeom>
                      </pic:spPr>
                    </pic:pic>
                  </a:graphicData>
                </a:graphic>
              </wp:inline>
            </w:drawing>
          </w:r>
        </w:p>
      </w:tc>
    </w:tr>
    <w:tr w:rsidR="002812F3" w:rsidRPr="003E703A" w:rsidTr="008B3162">
      <w:trPr>
        <w:trHeight w:val="312"/>
      </w:trPr>
      <w:tc>
        <w:tcPr>
          <w:tcW w:w="10024" w:type="dxa"/>
          <w:vAlign w:val="bottom"/>
        </w:tcPr>
        <w:p w:rsidR="002812F3" w:rsidRPr="003E703A" w:rsidRDefault="002812F3" w:rsidP="008B3162">
          <w:pPr>
            <w:pStyle w:val="LSEGLegalInfo"/>
            <w:rPr>
              <w:sz w:val="16"/>
              <w:szCs w:val="16"/>
            </w:rPr>
          </w:pPr>
        </w:p>
      </w:tc>
    </w:tr>
  </w:tbl>
  <w:p w:rsidR="002812F3" w:rsidRPr="003E703A" w:rsidRDefault="002812F3" w:rsidP="00C20083">
    <w:pPr>
      <w:pStyle w:val="Footer"/>
      <w:rPr>
        <w:sz w:val="16"/>
        <w:szCs w:val="16"/>
        <w:lang w:val="it-IT"/>
      </w:rPr>
    </w:pPr>
    <w:r w:rsidRPr="003E703A">
      <w:rPr>
        <w:sz w:val="16"/>
        <w:szCs w:val="16"/>
      </w:rPr>
      <w:t xml:space="preserve">EuroTLX SIM S.p.A. | Cap. Soc. </w:t>
    </w:r>
    <w:r w:rsidRPr="003E703A">
      <w:rPr>
        <w:sz w:val="16"/>
        <w:szCs w:val="16"/>
        <w:lang w:val="it-IT"/>
      </w:rPr>
      <w:t>€ 5.000.000,00 i.v. - Iscritta al Registro delle Imprese di Milano - Codice Fiscale e Partita IVA n. 03421230966 | R.E.A. n. 1673989 | Autorizzata con delibera CONSOB n. 17099 del 15 dicembre 2009 | Aderente Fondo Nazionale di Garanzia | Società sottoposta all'attività di direzione e coordinamento di London Stock Exchange Group Holdings Italia S.p.A.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F3" w:rsidRDefault="00281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2F3" w:rsidRDefault="002812F3" w:rsidP="00C622DE">
      <w:pPr>
        <w:spacing w:after="0" w:line="240" w:lineRule="auto"/>
      </w:pPr>
      <w:r>
        <w:separator/>
      </w:r>
    </w:p>
  </w:footnote>
  <w:footnote w:type="continuationSeparator" w:id="0">
    <w:p w:rsidR="002812F3" w:rsidRDefault="002812F3" w:rsidP="00C62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F3" w:rsidRDefault="00281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F3" w:rsidRPr="00C622DE" w:rsidRDefault="002812F3" w:rsidP="00C622DE">
    <w:pPr>
      <w:pStyle w:val="Header"/>
    </w:pPr>
    <w:r>
      <w:rPr>
        <w:noProof/>
      </w:rPr>
      <w:drawing>
        <wp:inline distT="0" distB="0" distL="0" distR="0" wp14:anchorId="7ACF059B" wp14:editId="7317061D">
          <wp:extent cx="1190625" cy="745976"/>
          <wp:effectExtent l="19050" t="19050" r="952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188" cy="750715"/>
                  </a:xfrm>
                  <a:prstGeom prst="rect">
                    <a:avLst/>
                  </a:prstGeom>
                  <a:noFill/>
                  <a:ln>
                    <a:solidFill>
                      <a:schemeClr val="bg1"/>
                    </a:solid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F3" w:rsidRDefault="002812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894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CE"/>
    <w:rsid w:val="0000190E"/>
    <w:rsid w:val="000019E5"/>
    <w:rsid w:val="00011BFE"/>
    <w:rsid w:val="00022D14"/>
    <w:rsid w:val="00030F9B"/>
    <w:rsid w:val="00031058"/>
    <w:rsid w:val="00031239"/>
    <w:rsid w:val="00034DAA"/>
    <w:rsid w:val="00034EA0"/>
    <w:rsid w:val="00036BF2"/>
    <w:rsid w:val="000373F1"/>
    <w:rsid w:val="00037D2E"/>
    <w:rsid w:val="000425EA"/>
    <w:rsid w:val="000532B8"/>
    <w:rsid w:val="000542A0"/>
    <w:rsid w:val="00062227"/>
    <w:rsid w:val="000701C5"/>
    <w:rsid w:val="0008206E"/>
    <w:rsid w:val="000861EA"/>
    <w:rsid w:val="0009602D"/>
    <w:rsid w:val="000A0402"/>
    <w:rsid w:val="000A3182"/>
    <w:rsid w:val="000A459D"/>
    <w:rsid w:val="000A58F4"/>
    <w:rsid w:val="000A6CD2"/>
    <w:rsid w:val="000B0596"/>
    <w:rsid w:val="000B5A21"/>
    <w:rsid w:val="000C1061"/>
    <w:rsid w:val="000C254F"/>
    <w:rsid w:val="000C5561"/>
    <w:rsid w:val="000D44A3"/>
    <w:rsid w:val="000D5729"/>
    <w:rsid w:val="000E002D"/>
    <w:rsid w:val="000E1729"/>
    <w:rsid w:val="000F45EA"/>
    <w:rsid w:val="000F5565"/>
    <w:rsid w:val="00101D9C"/>
    <w:rsid w:val="00105094"/>
    <w:rsid w:val="00105AE7"/>
    <w:rsid w:val="00106CBC"/>
    <w:rsid w:val="00110E77"/>
    <w:rsid w:val="0011220F"/>
    <w:rsid w:val="0011276A"/>
    <w:rsid w:val="00116D5A"/>
    <w:rsid w:val="00117DEA"/>
    <w:rsid w:val="00117F56"/>
    <w:rsid w:val="00132243"/>
    <w:rsid w:val="00133B67"/>
    <w:rsid w:val="001508D7"/>
    <w:rsid w:val="00153832"/>
    <w:rsid w:val="0015444E"/>
    <w:rsid w:val="00157C5A"/>
    <w:rsid w:val="001622CE"/>
    <w:rsid w:val="00163A2A"/>
    <w:rsid w:val="00164476"/>
    <w:rsid w:val="00167044"/>
    <w:rsid w:val="00175644"/>
    <w:rsid w:val="00175826"/>
    <w:rsid w:val="00177DD7"/>
    <w:rsid w:val="00182D65"/>
    <w:rsid w:val="0018345A"/>
    <w:rsid w:val="00185A03"/>
    <w:rsid w:val="00186174"/>
    <w:rsid w:val="00186AE1"/>
    <w:rsid w:val="001A1E4B"/>
    <w:rsid w:val="001A3419"/>
    <w:rsid w:val="001A62CA"/>
    <w:rsid w:val="001A6CC9"/>
    <w:rsid w:val="001B2853"/>
    <w:rsid w:val="001B6C3A"/>
    <w:rsid w:val="001C5B65"/>
    <w:rsid w:val="001C7CDE"/>
    <w:rsid w:val="001E02C4"/>
    <w:rsid w:val="001E63C9"/>
    <w:rsid w:val="00203112"/>
    <w:rsid w:val="00207EC0"/>
    <w:rsid w:val="00215A97"/>
    <w:rsid w:val="00216085"/>
    <w:rsid w:val="00223A1D"/>
    <w:rsid w:val="0022754E"/>
    <w:rsid w:val="00233883"/>
    <w:rsid w:val="002407E4"/>
    <w:rsid w:val="00241943"/>
    <w:rsid w:val="0024266A"/>
    <w:rsid w:val="0025353F"/>
    <w:rsid w:val="002553E7"/>
    <w:rsid w:val="00257E71"/>
    <w:rsid w:val="00261585"/>
    <w:rsid w:val="00262C54"/>
    <w:rsid w:val="00263C15"/>
    <w:rsid w:val="00263EF3"/>
    <w:rsid w:val="002643D4"/>
    <w:rsid w:val="002651DA"/>
    <w:rsid w:val="00265F02"/>
    <w:rsid w:val="00267B54"/>
    <w:rsid w:val="0027048B"/>
    <w:rsid w:val="00271149"/>
    <w:rsid w:val="00274A52"/>
    <w:rsid w:val="00275839"/>
    <w:rsid w:val="002768A5"/>
    <w:rsid w:val="002812F3"/>
    <w:rsid w:val="00281F52"/>
    <w:rsid w:val="00282D1C"/>
    <w:rsid w:val="002939CC"/>
    <w:rsid w:val="00296429"/>
    <w:rsid w:val="002A1ABC"/>
    <w:rsid w:val="002A2893"/>
    <w:rsid w:val="002A51A1"/>
    <w:rsid w:val="002B13E8"/>
    <w:rsid w:val="002B3C87"/>
    <w:rsid w:val="002B4F42"/>
    <w:rsid w:val="002B6CBD"/>
    <w:rsid w:val="002B7796"/>
    <w:rsid w:val="002C0957"/>
    <w:rsid w:val="002C687B"/>
    <w:rsid w:val="002D0770"/>
    <w:rsid w:val="002D3FF7"/>
    <w:rsid w:val="002D6A12"/>
    <w:rsid w:val="002E1CF0"/>
    <w:rsid w:val="002E392E"/>
    <w:rsid w:val="002E5545"/>
    <w:rsid w:val="002E6970"/>
    <w:rsid w:val="002F48A9"/>
    <w:rsid w:val="002F7429"/>
    <w:rsid w:val="00300DA9"/>
    <w:rsid w:val="003021CA"/>
    <w:rsid w:val="00302AFC"/>
    <w:rsid w:val="00305C0F"/>
    <w:rsid w:val="003107A2"/>
    <w:rsid w:val="00311854"/>
    <w:rsid w:val="00313320"/>
    <w:rsid w:val="003267A9"/>
    <w:rsid w:val="00327505"/>
    <w:rsid w:val="00327888"/>
    <w:rsid w:val="00331155"/>
    <w:rsid w:val="00337433"/>
    <w:rsid w:val="003504FA"/>
    <w:rsid w:val="00353A03"/>
    <w:rsid w:val="00355863"/>
    <w:rsid w:val="00356E44"/>
    <w:rsid w:val="00362ABC"/>
    <w:rsid w:val="00363512"/>
    <w:rsid w:val="0037367F"/>
    <w:rsid w:val="003771B6"/>
    <w:rsid w:val="0038073D"/>
    <w:rsid w:val="00390694"/>
    <w:rsid w:val="00393C21"/>
    <w:rsid w:val="00395132"/>
    <w:rsid w:val="003952EE"/>
    <w:rsid w:val="00397483"/>
    <w:rsid w:val="00397A1C"/>
    <w:rsid w:val="003A78E4"/>
    <w:rsid w:val="003B5C2A"/>
    <w:rsid w:val="003C042D"/>
    <w:rsid w:val="003D0030"/>
    <w:rsid w:val="003D057C"/>
    <w:rsid w:val="003E149E"/>
    <w:rsid w:val="003E3487"/>
    <w:rsid w:val="003E6DED"/>
    <w:rsid w:val="003E703A"/>
    <w:rsid w:val="003F0424"/>
    <w:rsid w:val="003F1C61"/>
    <w:rsid w:val="003F298E"/>
    <w:rsid w:val="0040075A"/>
    <w:rsid w:val="00404235"/>
    <w:rsid w:val="00406E84"/>
    <w:rsid w:val="00407270"/>
    <w:rsid w:val="00412364"/>
    <w:rsid w:val="0041665C"/>
    <w:rsid w:val="00427E8F"/>
    <w:rsid w:val="0043281E"/>
    <w:rsid w:val="004405B4"/>
    <w:rsid w:val="004437F4"/>
    <w:rsid w:val="00444662"/>
    <w:rsid w:val="00444CD1"/>
    <w:rsid w:val="00447D82"/>
    <w:rsid w:val="0045524B"/>
    <w:rsid w:val="00456960"/>
    <w:rsid w:val="004570A5"/>
    <w:rsid w:val="00463BC8"/>
    <w:rsid w:val="0047676F"/>
    <w:rsid w:val="004811DE"/>
    <w:rsid w:val="00484849"/>
    <w:rsid w:val="004914BE"/>
    <w:rsid w:val="004948AC"/>
    <w:rsid w:val="00497798"/>
    <w:rsid w:val="004A6992"/>
    <w:rsid w:val="004A6AF2"/>
    <w:rsid w:val="004C189E"/>
    <w:rsid w:val="004C2BB6"/>
    <w:rsid w:val="004C3FF4"/>
    <w:rsid w:val="004C4782"/>
    <w:rsid w:val="004C5641"/>
    <w:rsid w:val="004C7020"/>
    <w:rsid w:val="004D0629"/>
    <w:rsid w:val="004D4354"/>
    <w:rsid w:val="004E2A20"/>
    <w:rsid w:val="004E6B8F"/>
    <w:rsid w:val="004F0222"/>
    <w:rsid w:val="004F76C0"/>
    <w:rsid w:val="004F7BF3"/>
    <w:rsid w:val="00500CD5"/>
    <w:rsid w:val="00515159"/>
    <w:rsid w:val="00516198"/>
    <w:rsid w:val="00520430"/>
    <w:rsid w:val="00524C13"/>
    <w:rsid w:val="00534BFA"/>
    <w:rsid w:val="005366E2"/>
    <w:rsid w:val="00544570"/>
    <w:rsid w:val="00544711"/>
    <w:rsid w:val="00545565"/>
    <w:rsid w:val="005505AE"/>
    <w:rsid w:val="00574428"/>
    <w:rsid w:val="00575102"/>
    <w:rsid w:val="005762FC"/>
    <w:rsid w:val="0058515C"/>
    <w:rsid w:val="00590A16"/>
    <w:rsid w:val="00591CFC"/>
    <w:rsid w:val="0059568D"/>
    <w:rsid w:val="00596B08"/>
    <w:rsid w:val="005A2A2D"/>
    <w:rsid w:val="005A3384"/>
    <w:rsid w:val="005A4964"/>
    <w:rsid w:val="005B6DD1"/>
    <w:rsid w:val="005C2D04"/>
    <w:rsid w:val="005C39F1"/>
    <w:rsid w:val="005C6779"/>
    <w:rsid w:val="005C6B5C"/>
    <w:rsid w:val="005C7FC3"/>
    <w:rsid w:val="005D2AD8"/>
    <w:rsid w:val="005E02C6"/>
    <w:rsid w:val="005F2AC7"/>
    <w:rsid w:val="006045BF"/>
    <w:rsid w:val="006058E2"/>
    <w:rsid w:val="00613961"/>
    <w:rsid w:val="00633EF8"/>
    <w:rsid w:val="006408C8"/>
    <w:rsid w:val="0064656E"/>
    <w:rsid w:val="00647A21"/>
    <w:rsid w:val="00653547"/>
    <w:rsid w:val="00653AA3"/>
    <w:rsid w:val="00663DBD"/>
    <w:rsid w:val="00666EB3"/>
    <w:rsid w:val="006706FB"/>
    <w:rsid w:val="00677561"/>
    <w:rsid w:val="00686FA8"/>
    <w:rsid w:val="006901B6"/>
    <w:rsid w:val="00693C6B"/>
    <w:rsid w:val="006A5758"/>
    <w:rsid w:val="006A73F2"/>
    <w:rsid w:val="006A75FE"/>
    <w:rsid w:val="006B1B21"/>
    <w:rsid w:val="006B553E"/>
    <w:rsid w:val="006B59B2"/>
    <w:rsid w:val="006D15F5"/>
    <w:rsid w:val="006D1C09"/>
    <w:rsid w:val="006D5C92"/>
    <w:rsid w:val="006E1397"/>
    <w:rsid w:val="006E1572"/>
    <w:rsid w:val="006E201F"/>
    <w:rsid w:val="006E5698"/>
    <w:rsid w:val="006E5941"/>
    <w:rsid w:val="006F22F7"/>
    <w:rsid w:val="006F2EC6"/>
    <w:rsid w:val="006F6281"/>
    <w:rsid w:val="006F7A20"/>
    <w:rsid w:val="007005C6"/>
    <w:rsid w:val="00702A0B"/>
    <w:rsid w:val="00704D4B"/>
    <w:rsid w:val="007067EA"/>
    <w:rsid w:val="007078A4"/>
    <w:rsid w:val="007107EE"/>
    <w:rsid w:val="00715939"/>
    <w:rsid w:val="00717F1E"/>
    <w:rsid w:val="00727401"/>
    <w:rsid w:val="00727893"/>
    <w:rsid w:val="00735470"/>
    <w:rsid w:val="0073654E"/>
    <w:rsid w:val="00741469"/>
    <w:rsid w:val="00742172"/>
    <w:rsid w:val="00747505"/>
    <w:rsid w:val="007613A3"/>
    <w:rsid w:val="00771852"/>
    <w:rsid w:val="00773200"/>
    <w:rsid w:val="0079031F"/>
    <w:rsid w:val="00794E03"/>
    <w:rsid w:val="007A21A9"/>
    <w:rsid w:val="007B4D83"/>
    <w:rsid w:val="007C6FAB"/>
    <w:rsid w:val="007D3D3A"/>
    <w:rsid w:val="007D772E"/>
    <w:rsid w:val="007E3E82"/>
    <w:rsid w:val="007E649E"/>
    <w:rsid w:val="007E7F0E"/>
    <w:rsid w:val="007F3644"/>
    <w:rsid w:val="008032CE"/>
    <w:rsid w:val="00805E54"/>
    <w:rsid w:val="00812D38"/>
    <w:rsid w:val="008227C6"/>
    <w:rsid w:val="00826982"/>
    <w:rsid w:val="008321C6"/>
    <w:rsid w:val="00834049"/>
    <w:rsid w:val="00837DCB"/>
    <w:rsid w:val="008405E2"/>
    <w:rsid w:val="008438B1"/>
    <w:rsid w:val="00845DEE"/>
    <w:rsid w:val="00857438"/>
    <w:rsid w:val="00861CF0"/>
    <w:rsid w:val="00862D88"/>
    <w:rsid w:val="00864D76"/>
    <w:rsid w:val="00866D38"/>
    <w:rsid w:val="00871957"/>
    <w:rsid w:val="00883035"/>
    <w:rsid w:val="008831F0"/>
    <w:rsid w:val="008934DA"/>
    <w:rsid w:val="00897C11"/>
    <w:rsid w:val="008A37AC"/>
    <w:rsid w:val="008A3F80"/>
    <w:rsid w:val="008A4F0D"/>
    <w:rsid w:val="008A5136"/>
    <w:rsid w:val="008B2DCE"/>
    <w:rsid w:val="008B3162"/>
    <w:rsid w:val="008B7575"/>
    <w:rsid w:val="008C4AD7"/>
    <w:rsid w:val="008C789D"/>
    <w:rsid w:val="008E54C2"/>
    <w:rsid w:val="008F715C"/>
    <w:rsid w:val="00907296"/>
    <w:rsid w:val="00912B54"/>
    <w:rsid w:val="0091751D"/>
    <w:rsid w:val="0092281C"/>
    <w:rsid w:val="00930D52"/>
    <w:rsid w:val="00930ED4"/>
    <w:rsid w:val="00931C5F"/>
    <w:rsid w:val="00940DBC"/>
    <w:rsid w:val="009510AB"/>
    <w:rsid w:val="0095112D"/>
    <w:rsid w:val="0095178B"/>
    <w:rsid w:val="00961546"/>
    <w:rsid w:val="00962995"/>
    <w:rsid w:val="00964A84"/>
    <w:rsid w:val="00966F1B"/>
    <w:rsid w:val="00967247"/>
    <w:rsid w:val="00967333"/>
    <w:rsid w:val="00967CAF"/>
    <w:rsid w:val="00977365"/>
    <w:rsid w:val="00980114"/>
    <w:rsid w:val="009830ED"/>
    <w:rsid w:val="00984793"/>
    <w:rsid w:val="00987832"/>
    <w:rsid w:val="00991347"/>
    <w:rsid w:val="0099372D"/>
    <w:rsid w:val="00996B54"/>
    <w:rsid w:val="009A13BF"/>
    <w:rsid w:val="009A279E"/>
    <w:rsid w:val="009A699F"/>
    <w:rsid w:val="009B1550"/>
    <w:rsid w:val="009B3164"/>
    <w:rsid w:val="009B3262"/>
    <w:rsid w:val="009B6A4D"/>
    <w:rsid w:val="009C222C"/>
    <w:rsid w:val="009C37CC"/>
    <w:rsid w:val="009C3EB5"/>
    <w:rsid w:val="009C5687"/>
    <w:rsid w:val="009C63B4"/>
    <w:rsid w:val="009C7891"/>
    <w:rsid w:val="009E041D"/>
    <w:rsid w:val="009F09DF"/>
    <w:rsid w:val="009F4138"/>
    <w:rsid w:val="009F69A4"/>
    <w:rsid w:val="00A031C2"/>
    <w:rsid w:val="00A05334"/>
    <w:rsid w:val="00A05586"/>
    <w:rsid w:val="00A147BA"/>
    <w:rsid w:val="00A21D5E"/>
    <w:rsid w:val="00A22F84"/>
    <w:rsid w:val="00A304B5"/>
    <w:rsid w:val="00A44318"/>
    <w:rsid w:val="00A44D0F"/>
    <w:rsid w:val="00A51306"/>
    <w:rsid w:val="00A53AC0"/>
    <w:rsid w:val="00A53DB3"/>
    <w:rsid w:val="00A56DAB"/>
    <w:rsid w:val="00A57947"/>
    <w:rsid w:val="00A66177"/>
    <w:rsid w:val="00A72A8B"/>
    <w:rsid w:val="00A8081C"/>
    <w:rsid w:val="00A95242"/>
    <w:rsid w:val="00A95B73"/>
    <w:rsid w:val="00AA3C97"/>
    <w:rsid w:val="00AA5816"/>
    <w:rsid w:val="00AA5A54"/>
    <w:rsid w:val="00AA749B"/>
    <w:rsid w:val="00AC0408"/>
    <w:rsid w:val="00AC13A8"/>
    <w:rsid w:val="00AC77CF"/>
    <w:rsid w:val="00AD0A78"/>
    <w:rsid w:val="00AD40E1"/>
    <w:rsid w:val="00AE791D"/>
    <w:rsid w:val="00B0564F"/>
    <w:rsid w:val="00B11CBD"/>
    <w:rsid w:val="00B14B8C"/>
    <w:rsid w:val="00B25D2F"/>
    <w:rsid w:val="00B30287"/>
    <w:rsid w:val="00B30AC5"/>
    <w:rsid w:val="00B313D1"/>
    <w:rsid w:val="00B327AE"/>
    <w:rsid w:val="00B364F7"/>
    <w:rsid w:val="00B45790"/>
    <w:rsid w:val="00B54416"/>
    <w:rsid w:val="00B5442A"/>
    <w:rsid w:val="00B64E50"/>
    <w:rsid w:val="00B71791"/>
    <w:rsid w:val="00B71A6A"/>
    <w:rsid w:val="00B72704"/>
    <w:rsid w:val="00B738CA"/>
    <w:rsid w:val="00B75CDF"/>
    <w:rsid w:val="00B8170E"/>
    <w:rsid w:val="00B8307A"/>
    <w:rsid w:val="00B84542"/>
    <w:rsid w:val="00B8485B"/>
    <w:rsid w:val="00B85BC4"/>
    <w:rsid w:val="00B87245"/>
    <w:rsid w:val="00B95577"/>
    <w:rsid w:val="00BA068B"/>
    <w:rsid w:val="00BA0C86"/>
    <w:rsid w:val="00BA2944"/>
    <w:rsid w:val="00BA5B77"/>
    <w:rsid w:val="00BA7855"/>
    <w:rsid w:val="00BB26F8"/>
    <w:rsid w:val="00BB34F7"/>
    <w:rsid w:val="00BB4080"/>
    <w:rsid w:val="00BD2A4C"/>
    <w:rsid w:val="00BD44C0"/>
    <w:rsid w:val="00BD4B34"/>
    <w:rsid w:val="00BD64C1"/>
    <w:rsid w:val="00BE367D"/>
    <w:rsid w:val="00BF0F86"/>
    <w:rsid w:val="00BF186A"/>
    <w:rsid w:val="00BF4F01"/>
    <w:rsid w:val="00BF71BA"/>
    <w:rsid w:val="00C009B7"/>
    <w:rsid w:val="00C03417"/>
    <w:rsid w:val="00C03CD8"/>
    <w:rsid w:val="00C10B5E"/>
    <w:rsid w:val="00C11C24"/>
    <w:rsid w:val="00C13E2D"/>
    <w:rsid w:val="00C20083"/>
    <w:rsid w:val="00C21061"/>
    <w:rsid w:val="00C31E85"/>
    <w:rsid w:val="00C378C5"/>
    <w:rsid w:val="00C40372"/>
    <w:rsid w:val="00C50740"/>
    <w:rsid w:val="00C50CE9"/>
    <w:rsid w:val="00C548E4"/>
    <w:rsid w:val="00C56A27"/>
    <w:rsid w:val="00C61E28"/>
    <w:rsid w:val="00C622DE"/>
    <w:rsid w:val="00C63D82"/>
    <w:rsid w:val="00C6539C"/>
    <w:rsid w:val="00C6587D"/>
    <w:rsid w:val="00C67C27"/>
    <w:rsid w:val="00C73371"/>
    <w:rsid w:val="00C76F08"/>
    <w:rsid w:val="00C82590"/>
    <w:rsid w:val="00C8457D"/>
    <w:rsid w:val="00C84796"/>
    <w:rsid w:val="00C876FA"/>
    <w:rsid w:val="00CA626F"/>
    <w:rsid w:val="00CA6403"/>
    <w:rsid w:val="00CB0901"/>
    <w:rsid w:val="00CB1C84"/>
    <w:rsid w:val="00CC4A13"/>
    <w:rsid w:val="00CC782B"/>
    <w:rsid w:val="00CD024A"/>
    <w:rsid w:val="00CD10C0"/>
    <w:rsid w:val="00CD52B0"/>
    <w:rsid w:val="00CE1C7F"/>
    <w:rsid w:val="00CE665D"/>
    <w:rsid w:val="00CF0DA9"/>
    <w:rsid w:val="00CF2494"/>
    <w:rsid w:val="00CF7B40"/>
    <w:rsid w:val="00D026F3"/>
    <w:rsid w:val="00D03B61"/>
    <w:rsid w:val="00D0590B"/>
    <w:rsid w:val="00D06033"/>
    <w:rsid w:val="00D10214"/>
    <w:rsid w:val="00D1081F"/>
    <w:rsid w:val="00D20A66"/>
    <w:rsid w:val="00D20C0E"/>
    <w:rsid w:val="00D24428"/>
    <w:rsid w:val="00D3419F"/>
    <w:rsid w:val="00D35E0A"/>
    <w:rsid w:val="00D36555"/>
    <w:rsid w:val="00D46A7D"/>
    <w:rsid w:val="00D716F8"/>
    <w:rsid w:val="00D71AB8"/>
    <w:rsid w:val="00D72CAB"/>
    <w:rsid w:val="00D76402"/>
    <w:rsid w:val="00D8136C"/>
    <w:rsid w:val="00D91515"/>
    <w:rsid w:val="00D954EE"/>
    <w:rsid w:val="00D96F2A"/>
    <w:rsid w:val="00DA084D"/>
    <w:rsid w:val="00DA4E4E"/>
    <w:rsid w:val="00DA7BBF"/>
    <w:rsid w:val="00DC072E"/>
    <w:rsid w:val="00DC3620"/>
    <w:rsid w:val="00DC45A1"/>
    <w:rsid w:val="00DC4A6C"/>
    <w:rsid w:val="00DD2EFA"/>
    <w:rsid w:val="00DD6612"/>
    <w:rsid w:val="00DE4EF7"/>
    <w:rsid w:val="00DE5647"/>
    <w:rsid w:val="00DE78E3"/>
    <w:rsid w:val="00DF0A05"/>
    <w:rsid w:val="00E005C9"/>
    <w:rsid w:val="00E07F71"/>
    <w:rsid w:val="00E10839"/>
    <w:rsid w:val="00E16E8F"/>
    <w:rsid w:val="00E31C50"/>
    <w:rsid w:val="00E330B2"/>
    <w:rsid w:val="00E4005B"/>
    <w:rsid w:val="00E43539"/>
    <w:rsid w:val="00E4362B"/>
    <w:rsid w:val="00E45083"/>
    <w:rsid w:val="00E50E2C"/>
    <w:rsid w:val="00E5352C"/>
    <w:rsid w:val="00E569A4"/>
    <w:rsid w:val="00E60D65"/>
    <w:rsid w:val="00E60F22"/>
    <w:rsid w:val="00E61875"/>
    <w:rsid w:val="00E66F70"/>
    <w:rsid w:val="00E70531"/>
    <w:rsid w:val="00E71597"/>
    <w:rsid w:val="00E71D2C"/>
    <w:rsid w:val="00E836FF"/>
    <w:rsid w:val="00E91E04"/>
    <w:rsid w:val="00E94194"/>
    <w:rsid w:val="00E95278"/>
    <w:rsid w:val="00EA0AAA"/>
    <w:rsid w:val="00EB5C93"/>
    <w:rsid w:val="00EB69ED"/>
    <w:rsid w:val="00ED7784"/>
    <w:rsid w:val="00EE1CE4"/>
    <w:rsid w:val="00EF2DD1"/>
    <w:rsid w:val="00EF3301"/>
    <w:rsid w:val="00EF5F43"/>
    <w:rsid w:val="00EF65A5"/>
    <w:rsid w:val="00F04DD2"/>
    <w:rsid w:val="00F11353"/>
    <w:rsid w:val="00F14741"/>
    <w:rsid w:val="00F15111"/>
    <w:rsid w:val="00F2142B"/>
    <w:rsid w:val="00F239FD"/>
    <w:rsid w:val="00F645BC"/>
    <w:rsid w:val="00F648E1"/>
    <w:rsid w:val="00F6694D"/>
    <w:rsid w:val="00F71D48"/>
    <w:rsid w:val="00F7226A"/>
    <w:rsid w:val="00F748A0"/>
    <w:rsid w:val="00F75EED"/>
    <w:rsid w:val="00F8788C"/>
    <w:rsid w:val="00F94756"/>
    <w:rsid w:val="00FA06E5"/>
    <w:rsid w:val="00FA1824"/>
    <w:rsid w:val="00FA3DC5"/>
    <w:rsid w:val="00FA411D"/>
    <w:rsid w:val="00FA4B1F"/>
    <w:rsid w:val="00FA595E"/>
    <w:rsid w:val="00FA7087"/>
    <w:rsid w:val="00FB1D52"/>
    <w:rsid w:val="00FC2549"/>
    <w:rsid w:val="00FC3535"/>
    <w:rsid w:val="00FD17CE"/>
    <w:rsid w:val="00FF1DD8"/>
    <w:rsid w:val="00FF4311"/>
    <w:rsid w:val="00FF689A"/>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4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2DE"/>
  </w:style>
  <w:style w:type="paragraph" w:styleId="Footer">
    <w:name w:val="footer"/>
    <w:basedOn w:val="Normal"/>
    <w:link w:val="FooterChar"/>
    <w:uiPriority w:val="99"/>
    <w:unhideWhenUsed/>
    <w:rsid w:val="00C6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2DE"/>
  </w:style>
  <w:style w:type="paragraph" w:styleId="BalloonText">
    <w:name w:val="Balloon Text"/>
    <w:basedOn w:val="Normal"/>
    <w:link w:val="BalloonTextChar"/>
    <w:uiPriority w:val="99"/>
    <w:semiHidden/>
    <w:unhideWhenUsed/>
    <w:rsid w:val="00C62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DE"/>
    <w:rPr>
      <w:rFonts w:ascii="Tahoma" w:hAnsi="Tahoma" w:cs="Tahoma"/>
      <w:sz w:val="16"/>
      <w:szCs w:val="16"/>
    </w:rPr>
  </w:style>
  <w:style w:type="table" w:customStyle="1" w:styleId="LSEGPlaceholder">
    <w:name w:val="LSEG Placeholder"/>
    <w:basedOn w:val="TableNormal"/>
    <w:uiPriority w:val="99"/>
    <w:unhideWhenUsed/>
    <w:rsid w:val="00C20083"/>
    <w:pPr>
      <w:spacing w:after="0" w:line="240" w:lineRule="auto"/>
    </w:pPr>
    <w:rPr>
      <w:lang w:val="en-GB"/>
    </w:rPr>
    <w:tblPr>
      <w:tblCellMar>
        <w:left w:w="0" w:type="dxa"/>
        <w:right w:w="0" w:type="dxa"/>
      </w:tblCellMar>
    </w:tblPr>
  </w:style>
  <w:style w:type="paragraph" w:customStyle="1" w:styleId="LSEGLegalInfo">
    <w:name w:val="LSEG Legal Info"/>
    <w:basedOn w:val="Normal"/>
    <w:uiPriority w:val="99"/>
    <w:rsid w:val="00C20083"/>
    <w:pPr>
      <w:spacing w:before="120" w:after="0" w:line="180" w:lineRule="exact"/>
    </w:pPr>
    <w:rPr>
      <w:rFonts w:ascii="Arial" w:hAnsi="Arial"/>
      <w:color w:val="16202C"/>
      <w:sz w:val="14"/>
      <w:lang w:val="en-GB"/>
    </w:rPr>
  </w:style>
  <w:style w:type="paragraph" w:customStyle="1" w:styleId="LSEGLogoFooter">
    <w:name w:val="LSEG Logo Footer"/>
    <w:basedOn w:val="Normal"/>
    <w:uiPriority w:val="99"/>
    <w:rsid w:val="00C20083"/>
    <w:pPr>
      <w:tabs>
        <w:tab w:val="center" w:pos="4513"/>
        <w:tab w:val="right" w:pos="9026"/>
      </w:tabs>
      <w:spacing w:after="0" w:line="240" w:lineRule="auto"/>
    </w:pPr>
    <w:rPr>
      <w:rFonts w:ascii="Arial" w:hAnsi="Arial"/>
      <w:noProof/>
      <w:color w:val="000000"/>
      <w:sz w:val="18"/>
      <w:lang w:val="en-GB" w:eastAsia="en-GB"/>
    </w:rPr>
  </w:style>
  <w:style w:type="paragraph" w:customStyle="1" w:styleId="Default">
    <w:name w:val="Default"/>
    <w:rsid w:val="008B3162"/>
    <w:pPr>
      <w:autoSpaceDE w:val="0"/>
      <w:autoSpaceDN w:val="0"/>
      <w:adjustRightInd w:val="0"/>
      <w:spacing w:after="0" w:line="240" w:lineRule="auto"/>
    </w:pPr>
    <w:rPr>
      <w:rFonts w:ascii="Calibri" w:hAnsi="Calibri" w:cs="Calibri"/>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2DE"/>
  </w:style>
  <w:style w:type="paragraph" w:styleId="Footer">
    <w:name w:val="footer"/>
    <w:basedOn w:val="Normal"/>
    <w:link w:val="FooterChar"/>
    <w:uiPriority w:val="99"/>
    <w:unhideWhenUsed/>
    <w:rsid w:val="00C6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2DE"/>
  </w:style>
  <w:style w:type="paragraph" w:styleId="BalloonText">
    <w:name w:val="Balloon Text"/>
    <w:basedOn w:val="Normal"/>
    <w:link w:val="BalloonTextChar"/>
    <w:uiPriority w:val="99"/>
    <w:semiHidden/>
    <w:unhideWhenUsed/>
    <w:rsid w:val="00C62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DE"/>
    <w:rPr>
      <w:rFonts w:ascii="Tahoma" w:hAnsi="Tahoma" w:cs="Tahoma"/>
      <w:sz w:val="16"/>
      <w:szCs w:val="16"/>
    </w:rPr>
  </w:style>
  <w:style w:type="table" w:customStyle="1" w:styleId="LSEGPlaceholder">
    <w:name w:val="LSEG Placeholder"/>
    <w:basedOn w:val="TableNormal"/>
    <w:uiPriority w:val="99"/>
    <w:unhideWhenUsed/>
    <w:rsid w:val="00C20083"/>
    <w:pPr>
      <w:spacing w:after="0" w:line="240" w:lineRule="auto"/>
    </w:pPr>
    <w:rPr>
      <w:lang w:val="en-GB"/>
    </w:rPr>
    <w:tblPr>
      <w:tblCellMar>
        <w:left w:w="0" w:type="dxa"/>
        <w:right w:w="0" w:type="dxa"/>
      </w:tblCellMar>
    </w:tblPr>
  </w:style>
  <w:style w:type="paragraph" w:customStyle="1" w:styleId="LSEGLegalInfo">
    <w:name w:val="LSEG Legal Info"/>
    <w:basedOn w:val="Normal"/>
    <w:uiPriority w:val="99"/>
    <w:rsid w:val="00C20083"/>
    <w:pPr>
      <w:spacing w:before="120" w:after="0" w:line="180" w:lineRule="exact"/>
    </w:pPr>
    <w:rPr>
      <w:rFonts w:ascii="Arial" w:hAnsi="Arial"/>
      <w:color w:val="16202C"/>
      <w:sz w:val="14"/>
      <w:lang w:val="en-GB"/>
    </w:rPr>
  </w:style>
  <w:style w:type="paragraph" w:customStyle="1" w:styleId="LSEGLogoFooter">
    <w:name w:val="LSEG Logo Footer"/>
    <w:basedOn w:val="Normal"/>
    <w:uiPriority w:val="99"/>
    <w:rsid w:val="00C20083"/>
    <w:pPr>
      <w:tabs>
        <w:tab w:val="center" w:pos="4513"/>
        <w:tab w:val="right" w:pos="9026"/>
      </w:tabs>
      <w:spacing w:after="0" w:line="240" w:lineRule="auto"/>
    </w:pPr>
    <w:rPr>
      <w:rFonts w:ascii="Arial" w:hAnsi="Arial"/>
      <w:noProof/>
      <w:color w:val="000000"/>
      <w:sz w:val="18"/>
      <w:lang w:val="en-GB" w:eastAsia="en-GB"/>
    </w:rPr>
  </w:style>
  <w:style w:type="paragraph" w:customStyle="1" w:styleId="Default">
    <w:name w:val="Default"/>
    <w:rsid w:val="008B3162"/>
    <w:pPr>
      <w:autoSpaceDE w:val="0"/>
      <w:autoSpaceDN w:val="0"/>
      <w:adjustRightInd w:val="0"/>
      <w:spacing w:after="0" w:line="240" w:lineRule="auto"/>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22703">
      <w:bodyDiv w:val="1"/>
      <w:marLeft w:val="0"/>
      <w:marRight w:val="0"/>
      <w:marTop w:val="0"/>
      <w:marBottom w:val="0"/>
      <w:divBdr>
        <w:top w:val="none" w:sz="0" w:space="0" w:color="auto"/>
        <w:left w:val="none" w:sz="0" w:space="0" w:color="auto"/>
        <w:bottom w:val="none" w:sz="0" w:space="0" w:color="auto"/>
        <w:right w:val="none" w:sz="0" w:space="0" w:color="auto"/>
      </w:divBdr>
    </w:div>
    <w:div w:id="264391034">
      <w:bodyDiv w:val="1"/>
      <w:marLeft w:val="0"/>
      <w:marRight w:val="0"/>
      <w:marTop w:val="0"/>
      <w:marBottom w:val="0"/>
      <w:divBdr>
        <w:top w:val="none" w:sz="0" w:space="0" w:color="auto"/>
        <w:left w:val="none" w:sz="0" w:space="0" w:color="auto"/>
        <w:bottom w:val="none" w:sz="0" w:space="0" w:color="auto"/>
        <w:right w:val="none" w:sz="0" w:space="0" w:color="auto"/>
      </w:divBdr>
    </w:div>
    <w:div w:id="657879520">
      <w:bodyDiv w:val="1"/>
      <w:marLeft w:val="0"/>
      <w:marRight w:val="0"/>
      <w:marTop w:val="0"/>
      <w:marBottom w:val="0"/>
      <w:divBdr>
        <w:top w:val="none" w:sz="0" w:space="0" w:color="auto"/>
        <w:left w:val="none" w:sz="0" w:space="0" w:color="auto"/>
        <w:bottom w:val="none" w:sz="0" w:space="0" w:color="auto"/>
        <w:right w:val="none" w:sz="0" w:space="0" w:color="auto"/>
      </w:divBdr>
    </w:div>
    <w:div w:id="705757827">
      <w:bodyDiv w:val="1"/>
      <w:marLeft w:val="0"/>
      <w:marRight w:val="0"/>
      <w:marTop w:val="0"/>
      <w:marBottom w:val="0"/>
      <w:divBdr>
        <w:top w:val="none" w:sz="0" w:space="0" w:color="auto"/>
        <w:left w:val="none" w:sz="0" w:space="0" w:color="auto"/>
        <w:bottom w:val="none" w:sz="0" w:space="0" w:color="auto"/>
        <w:right w:val="none" w:sz="0" w:space="0" w:color="auto"/>
      </w:divBdr>
    </w:div>
    <w:div w:id="843978062">
      <w:bodyDiv w:val="1"/>
      <w:marLeft w:val="0"/>
      <w:marRight w:val="0"/>
      <w:marTop w:val="0"/>
      <w:marBottom w:val="0"/>
      <w:divBdr>
        <w:top w:val="none" w:sz="0" w:space="0" w:color="auto"/>
        <w:left w:val="none" w:sz="0" w:space="0" w:color="auto"/>
        <w:bottom w:val="none" w:sz="0" w:space="0" w:color="auto"/>
        <w:right w:val="none" w:sz="0" w:space="0" w:color="auto"/>
      </w:divBdr>
    </w:div>
    <w:div w:id="942032770">
      <w:bodyDiv w:val="1"/>
      <w:marLeft w:val="0"/>
      <w:marRight w:val="0"/>
      <w:marTop w:val="0"/>
      <w:marBottom w:val="0"/>
      <w:divBdr>
        <w:top w:val="none" w:sz="0" w:space="0" w:color="auto"/>
        <w:left w:val="none" w:sz="0" w:space="0" w:color="auto"/>
        <w:bottom w:val="none" w:sz="0" w:space="0" w:color="auto"/>
        <w:right w:val="none" w:sz="0" w:space="0" w:color="auto"/>
      </w:divBdr>
    </w:div>
    <w:div w:id="977029076">
      <w:bodyDiv w:val="1"/>
      <w:marLeft w:val="0"/>
      <w:marRight w:val="0"/>
      <w:marTop w:val="0"/>
      <w:marBottom w:val="0"/>
      <w:divBdr>
        <w:top w:val="none" w:sz="0" w:space="0" w:color="auto"/>
        <w:left w:val="none" w:sz="0" w:space="0" w:color="auto"/>
        <w:bottom w:val="none" w:sz="0" w:space="0" w:color="auto"/>
        <w:right w:val="none" w:sz="0" w:space="0" w:color="auto"/>
      </w:divBdr>
    </w:div>
    <w:div w:id="991832126">
      <w:bodyDiv w:val="1"/>
      <w:marLeft w:val="0"/>
      <w:marRight w:val="0"/>
      <w:marTop w:val="0"/>
      <w:marBottom w:val="0"/>
      <w:divBdr>
        <w:top w:val="none" w:sz="0" w:space="0" w:color="auto"/>
        <w:left w:val="none" w:sz="0" w:space="0" w:color="auto"/>
        <w:bottom w:val="none" w:sz="0" w:space="0" w:color="auto"/>
        <w:right w:val="none" w:sz="0" w:space="0" w:color="auto"/>
      </w:divBdr>
    </w:div>
    <w:div w:id="1039210919">
      <w:bodyDiv w:val="1"/>
      <w:marLeft w:val="0"/>
      <w:marRight w:val="0"/>
      <w:marTop w:val="0"/>
      <w:marBottom w:val="0"/>
      <w:divBdr>
        <w:top w:val="none" w:sz="0" w:space="0" w:color="auto"/>
        <w:left w:val="none" w:sz="0" w:space="0" w:color="auto"/>
        <w:bottom w:val="none" w:sz="0" w:space="0" w:color="auto"/>
        <w:right w:val="none" w:sz="0" w:space="0" w:color="auto"/>
      </w:divBdr>
    </w:div>
    <w:div w:id="1045451818">
      <w:bodyDiv w:val="1"/>
      <w:marLeft w:val="0"/>
      <w:marRight w:val="0"/>
      <w:marTop w:val="0"/>
      <w:marBottom w:val="0"/>
      <w:divBdr>
        <w:top w:val="none" w:sz="0" w:space="0" w:color="auto"/>
        <w:left w:val="none" w:sz="0" w:space="0" w:color="auto"/>
        <w:bottom w:val="none" w:sz="0" w:space="0" w:color="auto"/>
        <w:right w:val="none" w:sz="0" w:space="0" w:color="auto"/>
      </w:divBdr>
    </w:div>
    <w:div w:id="1226378892">
      <w:bodyDiv w:val="1"/>
      <w:marLeft w:val="0"/>
      <w:marRight w:val="0"/>
      <w:marTop w:val="0"/>
      <w:marBottom w:val="0"/>
      <w:divBdr>
        <w:top w:val="none" w:sz="0" w:space="0" w:color="auto"/>
        <w:left w:val="none" w:sz="0" w:space="0" w:color="auto"/>
        <w:bottom w:val="none" w:sz="0" w:space="0" w:color="auto"/>
        <w:right w:val="none" w:sz="0" w:space="0" w:color="auto"/>
      </w:divBdr>
    </w:div>
    <w:div w:id="1293747686">
      <w:bodyDiv w:val="1"/>
      <w:marLeft w:val="0"/>
      <w:marRight w:val="0"/>
      <w:marTop w:val="0"/>
      <w:marBottom w:val="0"/>
      <w:divBdr>
        <w:top w:val="none" w:sz="0" w:space="0" w:color="auto"/>
        <w:left w:val="none" w:sz="0" w:space="0" w:color="auto"/>
        <w:bottom w:val="none" w:sz="0" w:space="0" w:color="auto"/>
        <w:right w:val="none" w:sz="0" w:space="0" w:color="auto"/>
      </w:divBdr>
    </w:div>
    <w:div w:id="1802460857">
      <w:bodyDiv w:val="1"/>
      <w:marLeft w:val="0"/>
      <w:marRight w:val="0"/>
      <w:marTop w:val="0"/>
      <w:marBottom w:val="0"/>
      <w:divBdr>
        <w:top w:val="none" w:sz="0" w:space="0" w:color="auto"/>
        <w:left w:val="none" w:sz="0" w:space="0" w:color="auto"/>
        <w:bottom w:val="none" w:sz="0" w:space="0" w:color="auto"/>
        <w:right w:val="none" w:sz="0" w:space="0" w:color="auto"/>
      </w:divBdr>
    </w:div>
    <w:div w:id="1876770074">
      <w:bodyDiv w:val="1"/>
      <w:marLeft w:val="0"/>
      <w:marRight w:val="0"/>
      <w:marTop w:val="0"/>
      <w:marBottom w:val="0"/>
      <w:divBdr>
        <w:top w:val="none" w:sz="0" w:space="0" w:color="auto"/>
        <w:left w:val="none" w:sz="0" w:space="0" w:color="auto"/>
        <w:bottom w:val="none" w:sz="0" w:space="0" w:color="auto"/>
        <w:right w:val="none" w:sz="0" w:space="0" w:color="auto"/>
      </w:divBdr>
    </w:div>
    <w:div w:id="1944220434">
      <w:bodyDiv w:val="1"/>
      <w:marLeft w:val="0"/>
      <w:marRight w:val="0"/>
      <w:marTop w:val="0"/>
      <w:marBottom w:val="0"/>
      <w:divBdr>
        <w:top w:val="none" w:sz="0" w:space="0" w:color="auto"/>
        <w:left w:val="none" w:sz="0" w:space="0" w:color="auto"/>
        <w:bottom w:val="none" w:sz="0" w:space="0" w:color="auto"/>
        <w:right w:val="none" w:sz="0" w:space="0" w:color="auto"/>
      </w:divBdr>
    </w:div>
    <w:div w:id="21289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E361-C5CE-480E-9A0B-DB5F24B7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CC3E0F2D</Template>
  <TotalTime>214</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London Stock Exchange</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Agosta, Andrea</dc:creator>
  <cp:lastModifiedBy>Garoffolo, Sara</cp:lastModifiedBy>
  <cp:revision>34</cp:revision>
  <cp:lastPrinted>2019-10-09T13:22:00Z</cp:lastPrinted>
  <dcterms:created xsi:type="dcterms:W3CDTF">2019-08-30T14:09:00Z</dcterms:created>
  <dcterms:modified xsi:type="dcterms:W3CDTF">2019-10-11T15:04:00Z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132933228</vt:i4>
  </property>
  <property fmtid="{D5CDD505-2E9C-101B-9397-08002B2CF9AE}" pid="3" name="_NewReviewCycle">
    <vt:lpwstr/>
  </property>
  <property fmtid="{D5CDD505-2E9C-101B-9397-08002B2CF9AE}" pid="4" name="_EmailSubject">
    <vt:lpwstr>Un pò di modulistica….</vt:lpwstr>
  </property>
  <property fmtid="{D5CDD505-2E9C-101B-9397-08002B2CF9AE}" pid="5" name="_AuthorEmail">
    <vt:lpwstr>andrea.agosta@eurotlx.com</vt:lpwstr>
  </property>
  <property fmtid="{D5CDD505-2E9C-101B-9397-08002B2CF9AE}" pid="6" name="_AuthorEmailDisplayName">
    <vt:lpwstr>Agosta, Andrea</vt:lpwstr>
  </property>
  <property fmtid="{D5CDD505-2E9C-101B-9397-08002B2CF9AE}" pid="7" name="_ReviewingToolsShownOnce">
    <vt:lpwstr/>
  </property>
</Properties>
</file>